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2/15/2022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Mike Linderman, Board Chair; Zach Hannum, Board Member; Eric Viviano, Vice Chair; Carolyn Nesbitt, Board Member; Preston Wenz, Superintendent; Jennifer McPherson, District Clerk; Staff Member:  Donn Morris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Linderman called to order the special meeting of the Trout Creek School Board at 7 pm on 2/15/2022 at Trout Creek School.</w:t>
      </w:r>
    </w:p>
    <w:p w:rsidR="00000000" w:rsidDel="00000000" w:rsidP="00000000" w:rsidRDefault="00000000" w:rsidRPr="00000000" w14:paraId="00000009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Mr. Linderman led the Pledge of Allegiance.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Recognition of Visitors/Public Comment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Mr. Linderman did not ask for public comment.  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Motion to Approve the Agenda as Presented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Rasor 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V.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Employee Grievance Hearing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Staff member, Mr. Morris, shared his appeal request and stated his reasons.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Administrator, Mr. Wenz, shared his reasons as to why the appeal should not be upheld.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Board members asked questions for clarification.  Board discussed between themselves.  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Mr Linderman polled the Board as to whether or not to accept the appeal.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Mr. Hannum voted to accept the appeal.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  <w:t xml:space="preserve">Mr. Rasor voted to accept the appeal.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  <w:t xml:space="preserve">Mr. Viviano voted to accept the appeal.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720"/>
        <w:rPr/>
      </w:pPr>
      <w:r w:rsidDel="00000000" w:rsidR="00000000" w:rsidRPr="00000000">
        <w:rPr>
          <w:rtl w:val="0"/>
        </w:rPr>
        <w:t xml:space="preserve">Mrs. Nesbitt voted to deny the appeal.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 xml:space="preserve">Mr. Linderman voted to deny the appeal.</w:t>
      </w:r>
    </w:p>
    <w:p w:rsidR="00000000" w:rsidDel="00000000" w:rsidP="00000000" w:rsidRDefault="00000000" w:rsidRPr="00000000" w14:paraId="0000001F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  <w:t xml:space="preserve">With the appeal accepted in a 3/2 vote, the write-up will be removed from the staff file.</w:t>
      </w:r>
    </w:p>
    <w:p w:rsidR="00000000" w:rsidDel="00000000" w:rsidP="00000000" w:rsidRDefault="00000000" w:rsidRPr="00000000" w14:paraId="0000002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Adjournmen</w:t>
      </w:r>
      <w:r w:rsidDel="00000000" w:rsidR="00000000" w:rsidRPr="00000000">
        <w:rPr>
          <w:rtl w:val="0"/>
        </w:rPr>
        <w:t xml:space="preserve">t – Meeting was adjourned at  8:13 pm.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Tuesday, March 8, 2022 @ 6 pm.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Approved on ____________, 2022.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Michael Linderman, Board Chair                         </w:t>
        <w:tab/>
        <w:t xml:space="preserve">Date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TCS Special School Board Meeting Minutes 2/15/2022</w:t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